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CA" w:rsidRDefault="00DC3FA8" w:rsidP="00DC3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D5BCA">
        <w:rPr>
          <w:sz w:val="28"/>
          <w:szCs w:val="28"/>
        </w:rPr>
        <w:t>Приложение 1</w:t>
      </w:r>
    </w:p>
    <w:p w:rsidR="002D5BCA" w:rsidRDefault="00DC3FA8" w:rsidP="002D5B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приказу №  95   от 01 октября 2019 г.</w:t>
      </w:r>
    </w:p>
    <w:p w:rsidR="002D5BCA" w:rsidRDefault="002D5BCA" w:rsidP="002D5BC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D5BCA" w:rsidRDefault="002D5BCA" w:rsidP="002D5BCA">
      <w:pPr>
        <w:jc w:val="center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Учебный план по платным образовательным услугам</w:t>
      </w:r>
    </w:p>
    <w:p w:rsidR="002D5BCA" w:rsidRDefault="00551B1A" w:rsidP="002D5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2019 -2020</w:t>
      </w:r>
      <w:r w:rsidR="002D5BCA">
        <w:rPr>
          <w:sz w:val="28"/>
          <w:szCs w:val="28"/>
        </w:rPr>
        <w:t xml:space="preserve"> учебный год</w:t>
      </w:r>
    </w:p>
    <w:p w:rsidR="002D5BCA" w:rsidRDefault="002D5BCA" w:rsidP="002D5BCA">
      <w:pPr>
        <w:jc w:val="both"/>
        <w:rPr>
          <w:sz w:val="28"/>
          <w:szCs w:val="28"/>
        </w:rPr>
      </w:pPr>
    </w:p>
    <w:p w:rsidR="002D5BCA" w:rsidRDefault="002D5BCA" w:rsidP="002D5BCA">
      <w:pPr>
        <w:widowControl w:val="0"/>
        <w:autoSpaceDE w:val="0"/>
        <w:ind w:left="-70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п. 6 ст. 14 Закона Российской Федерации от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sz w:val="28"/>
          <w:szCs w:val="28"/>
        </w:rPr>
        <w:t>Закон РФ от 10.07.1992 N 3266-1(ред. от 12.11.2012) "Об образовании" государственные и муниципальные образовательные учреждения, в том числе образовательные учреждения, реализующие общеобразовательные программы дошкольного образования, всех форм собственности и ведомственной принадлежности (далее – ДОУ) вправе оказывать платные дополнительные образовательные услуги, не предусмотренные соответствующими образовательными программами и государственными образовательными стандартами.</w:t>
      </w:r>
      <w:proofErr w:type="gramEnd"/>
      <w:r>
        <w:rPr>
          <w:sz w:val="28"/>
          <w:szCs w:val="28"/>
        </w:rPr>
        <w:t xml:space="preserve"> Законодательно уточнено, что осуществление приносящей доход деятельности государственными и муниципальными образовательными учреждениями допускается, если это не противоречит федеральным законам </w:t>
      </w:r>
    </w:p>
    <w:p w:rsidR="002D5BCA" w:rsidRDefault="002D5BC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Платные  образовательные  услуги  предоставляются МБДОУ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- о/в № 27 ст. Казанская муниципального  образования Кавказский район с целью всестороннего удовлетворения потребности населения, улучшения качества, развития и совершенствования услуг, расширения материально-</w:t>
      </w:r>
      <w:proofErr w:type="gramEnd"/>
      <w:r>
        <w:rPr>
          <w:rFonts w:ascii="Times New Roman" w:hAnsi="Times New Roman"/>
          <w:sz w:val="28"/>
          <w:szCs w:val="28"/>
        </w:rPr>
        <w:t>технической базы, создания возможности для организации и проведения занятий по месту жительства.</w:t>
      </w:r>
    </w:p>
    <w:p w:rsidR="002D5BCA" w:rsidRDefault="002D5BC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Предоставление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27 платных образовательных услуг является частью его  хозяйственной деятельности и регулируется следующей нормативно-правовой базой  федерального и  краевого уровней, Уставом МБДОУ.</w:t>
      </w:r>
    </w:p>
    <w:p w:rsidR="002D5BCA" w:rsidRDefault="00551B1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2019-2020</w:t>
      </w:r>
      <w:r w:rsidR="002D5BCA">
        <w:rPr>
          <w:rFonts w:ascii="Times New Roman" w:hAnsi="Times New Roman"/>
          <w:sz w:val="28"/>
          <w:szCs w:val="28"/>
        </w:rPr>
        <w:t xml:space="preserve"> учебном году  утвержден следующий перечень платных  образовательных услуг:</w:t>
      </w:r>
    </w:p>
    <w:p w:rsidR="002D5BCA" w:rsidRDefault="00551B1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-группа «Обучение чтению» 2</w:t>
      </w:r>
      <w:r w:rsidR="002D5BCA">
        <w:rPr>
          <w:rFonts w:ascii="Times New Roman" w:hAnsi="Times New Roman"/>
          <w:sz w:val="28"/>
          <w:szCs w:val="28"/>
        </w:rPr>
        <w:t xml:space="preserve"> год обучения</w:t>
      </w: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p w:rsidR="002D5BCA" w:rsidRDefault="00551B1A" w:rsidP="002D5BCA">
      <w:pPr>
        <w:ind w:left="-709" w:right="283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 на 2019-2020</w:t>
      </w:r>
      <w:r w:rsidR="002D5BCA">
        <w:rPr>
          <w:sz w:val="28"/>
          <w:szCs w:val="28"/>
        </w:rPr>
        <w:t xml:space="preserve"> учебный год в необходимом объёме сохранено содержание учебных программ, являющ</w:t>
      </w:r>
      <w:r w:rsidR="002D5BCA">
        <w:rPr>
          <w:color w:val="000000"/>
          <w:sz w:val="28"/>
          <w:szCs w:val="28"/>
        </w:rPr>
        <w:t>их</w:t>
      </w:r>
      <w:r w:rsidR="002D5BCA">
        <w:rPr>
          <w:sz w:val="28"/>
          <w:szCs w:val="28"/>
        </w:rPr>
        <w:t>ся обязательным</w:t>
      </w:r>
      <w:r w:rsidR="002D5BCA">
        <w:rPr>
          <w:color w:val="000000"/>
          <w:sz w:val="28"/>
          <w:szCs w:val="28"/>
        </w:rPr>
        <w:t xml:space="preserve">и. </w:t>
      </w:r>
      <w:r w:rsidR="002D5BCA">
        <w:rPr>
          <w:sz w:val="28"/>
          <w:szCs w:val="28"/>
        </w:rPr>
        <w:t xml:space="preserve">Содержание Учебного плана соответствует возрастным и индивидуальным особенностям детей дошкольного возраста.      Количество часов, отведённое на освоение детьми учебного плана, не превышает величину недельной образовательной нагрузки в соответствии с требованиями </w:t>
      </w:r>
      <w:proofErr w:type="spellStart"/>
      <w:r w:rsidR="002D5BCA">
        <w:rPr>
          <w:sz w:val="28"/>
          <w:szCs w:val="28"/>
        </w:rPr>
        <w:t>СанПиН</w:t>
      </w:r>
      <w:proofErr w:type="spellEnd"/>
      <w:r w:rsidR="002D5BCA">
        <w:rPr>
          <w:sz w:val="28"/>
          <w:szCs w:val="28"/>
        </w:rPr>
        <w:t>.</w:t>
      </w:r>
    </w:p>
    <w:p w:rsidR="002D5BCA" w:rsidRDefault="002D5BC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соответствии с уставом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 27 учебный план по платным образовательным услугам  рассчитан   на 32  учебные недели.    Продолжительность образовательной деятельности  в зависимости от возраста детей: </w:t>
      </w:r>
    </w:p>
    <w:p w:rsidR="002D5BCA" w:rsidRDefault="00551B1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-подготовительная группа </w:t>
      </w:r>
      <w:r w:rsidR="002D5BCA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- 30</w:t>
      </w:r>
      <w:r w:rsidR="002D5BCA">
        <w:rPr>
          <w:rFonts w:ascii="Times New Roman" w:hAnsi="Times New Roman"/>
          <w:sz w:val="28"/>
          <w:szCs w:val="28"/>
        </w:rPr>
        <w:t xml:space="preserve"> мин.</w:t>
      </w:r>
    </w:p>
    <w:p w:rsidR="002D5BCA" w:rsidRDefault="002D5BCA" w:rsidP="002D5BCA">
      <w:pPr>
        <w:pStyle w:val="2"/>
        <w:spacing w:before="0" w:after="0"/>
        <w:ind w:left="-709" w:right="283" w:firstLine="0"/>
        <w:jc w:val="both"/>
        <w:rPr>
          <w:rFonts w:ascii="Times New Roman" w:hAnsi="Times New Roman"/>
          <w:b w:val="0"/>
          <w:i w:val="0"/>
          <w:szCs w:val="28"/>
        </w:rPr>
      </w:pPr>
      <w:r>
        <w:rPr>
          <w:rFonts w:ascii="Times New Roman" w:hAnsi="Times New Roman"/>
          <w:b w:val="0"/>
          <w:i w:val="0"/>
          <w:szCs w:val="28"/>
        </w:rPr>
        <w:lastRenderedPageBreak/>
        <w:t xml:space="preserve">              По  виду платных  образовательных услуг в  МБДОУ </w:t>
      </w:r>
      <w:proofErr w:type="spellStart"/>
      <w:r>
        <w:rPr>
          <w:rFonts w:ascii="Times New Roman" w:hAnsi="Times New Roman"/>
          <w:b w:val="0"/>
          <w:i w:val="0"/>
          <w:szCs w:val="28"/>
        </w:rPr>
        <w:t>д</w:t>
      </w:r>
      <w:proofErr w:type="spellEnd"/>
      <w:r>
        <w:rPr>
          <w:rFonts w:ascii="Times New Roman" w:hAnsi="Times New Roman"/>
          <w:b w:val="0"/>
          <w:i w:val="0"/>
          <w:szCs w:val="28"/>
        </w:rPr>
        <w:t>/с № 27   разработана и утверждена рабочая программа.    Содержание учебной программы направлено на достижение следующих целей:</w:t>
      </w:r>
    </w:p>
    <w:p w:rsidR="002D5BCA" w:rsidRDefault="002D5BCA" w:rsidP="002D5B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8579D">
        <w:rPr>
          <w:sz w:val="28"/>
          <w:szCs w:val="28"/>
        </w:rPr>
        <w:t>Формирование первоначальных навыков чтения у детей старшего дошкольного возраста.</w:t>
      </w:r>
    </w:p>
    <w:p w:rsidR="002D5BCA" w:rsidRDefault="002D5BCA" w:rsidP="002D5BCA">
      <w:pPr>
        <w:pStyle w:val="a3"/>
        <w:ind w:left="-709" w:right="28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D5BCA" w:rsidRPr="00B77B23" w:rsidRDefault="00551B1A" w:rsidP="002D5BCA">
      <w:pPr>
        <w:pStyle w:val="a3"/>
        <w:ind w:left="-709" w:right="28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Группа «Обучение чтению» 2</w:t>
      </w:r>
      <w:r w:rsidR="002D5BCA" w:rsidRPr="00B77B23">
        <w:rPr>
          <w:rFonts w:ascii="Times New Roman" w:hAnsi="Times New Roman"/>
          <w:sz w:val="28"/>
          <w:szCs w:val="28"/>
          <w:u w:val="single"/>
        </w:rPr>
        <w:t xml:space="preserve"> год обучения  (64 часа)</w:t>
      </w:r>
    </w:p>
    <w:p w:rsidR="002D5BCA" w:rsidRDefault="002D5BC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</w:p>
    <w:p w:rsidR="002D5BCA" w:rsidRPr="00B77B23" w:rsidRDefault="002D5BC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77B23">
        <w:rPr>
          <w:rFonts w:ascii="Times New Roman" w:hAnsi="Times New Roman"/>
          <w:sz w:val="28"/>
          <w:szCs w:val="28"/>
        </w:rPr>
        <w:t xml:space="preserve">Программа разработана с учетом  образовательной  программы  «От рождения до школы» под редакцией Н.Е. </w:t>
      </w:r>
      <w:proofErr w:type="spellStart"/>
      <w:r w:rsidRPr="00B77B2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77B23">
        <w:rPr>
          <w:rFonts w:ascii="Times New Roman" w:hAnsi="Times New Roman"/>
          <w:sz w:val="28"/>
          <w:szCs w:val="28"/>
        </w:rPr>
        <w:t xml:space="preserve">, М.А.Васильевой, Т.С.Комаровой.(3-е издание 2015 год), а за основу программы взята методика и «Букварь» Надежды Сергеевны Жуковой (2017г), рекомендованный Министерством образования РФ, как пособие по обучению чтению дошкольников. Букварь Н.С. Жуковой опирается на традиционную методику обучения чтению – от звука к букве, т.е. звуковой и </w:t>
      </w:r>
      <w:proofErr w:type="gramStart"/>
      <w:r w:rsidRPr="00B77B23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B77B23">
        <w:rPr>
          <w:rFonts w:ascii="Times New Roman" w:hAnsi="Times New Roman"/>
          <w:sz w:val="28"/>
          <w:szCs w:val="28"/>
        </w:rPr>
        <w:t xml:space="preserve"> на обучение дошкольников правильному чтению.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77B23">
        <w:rPr>
          <w:rFonts w:ascii="Times New Roman" w:hAnsi="Times New Roman"/>
          <w:sz w:val="28"/>
          <w:szCs w:val="28"/>
          <w:u w:val="single"/>
        </w:rPr>
        <w:t>Цель программы:</w:t>
      </w:r>
      <w:r w:rsidRPr="00B77B23">
        <w:rPr>
          <w:sz w:val="28"/>
          <w:szCs w:val="28"/>
        </w:rPr>
        <w:t xml:space="preserve"> </w:t>
      </w:r>
      <w:r w:rsidRPr="00B77B23">
        <w:rPr>
          <w:rFonts w:ascii="Times New Roman" w:hAnsi="Times New Roman"/>
          <w:sz w:val="28"/>
          <w:szCs w:val="28"/>
        </w:rPr>
        <w:t>Формирование первоначальных навыков чтения у детей старшего дошкольного возраста.</w:t>
      </w:r>
    </w:p>
    <w:p w:rsidR="002D5BCA" w:rsidRPr="00B77B23" w:rsidRDefault="002D5BC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</w:p>
    <w:p w:rsidR="002D5BCA" w:rsidRPr="00B77B23" w:rsidRDefault="002D5BCA" w:rsidP="002D5BCA">
      <w:pPr>
        <w:pStyle w:val="a3"/>
        <w:ind w:left="-709" w:right="283"/>
        <w:jc w:val="both"/>
        <w:rPr>
          <w:rFonts w:ascii="Times New Roman" w:hAnsi="Times New Roman"/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p w:rsidR="002D5BCA" w:rsidRPr="00031E0D" w:rsidRDefault="002D5BCA" w:rsidP="002D5BCA">
      <w:pPr>
        <w:jc w:val="center"/>
      </w:pPr>
    </w:p>
    <w:p w:rsidR="002D5BCA" w:rsidRDefault="002D5BCA" w:rsidP="002D5BC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D5BCA" w:rsidRDefault="002D5BCA" w:rsidP="002D5BCA">
      <w:pPr>
        <w:ind w:right="283"/>
        <w:jc w:val="both"/>
        <w:rPr>
          <w:color w:val="08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</w:t>
      </w: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ind w:left="-709" w:right="283"/>
        <w:jc w:val="both"/>
        <w:rPr>
          <w:sz w:val="28"/>
          <w:szCs w:val="28"/>
        </w:rPr>
      </w:pPr>
    </w:p>
    <w:p w:rsidR="002D5BCA" w:rsidRDefault="002D5BCA" w:rsidP="002D5BCA">
      <w:pPr>
        <w:pStyle w:val="a4"/>
        <w:ind w:left="-349" w:right="283"/>
        <w:jc w:val="both"/>
        <w:rPr>
          <w:kern w:val="1"/>
          <w:sz w:val="28"/>
          <w:szCs w:val="28"/>
        </w:rPr>
      </w:pPr>
    </w:p>
    <w:p w:rsidR="004A5A59" w:rsidRDefault="004A5A59" w:rsidP="002D5BCA">
      <w:pPr>
        <w:tabs>
          <w:tab w:val="left" w:pos="5748"/>
        </w:tabs>
        <w:ind w:left="5664"/>
        <w:jc w:val="both"/>
      </w:pPr>
    </w:p>
    <w:p w:rsidR="004A5A59" w:rsidRDefault="004A5A59" w:rsidP="002D5BCA">
      <w:pPr>
        <w:tabs>
          <w:tab w:val="left" w:pos="5748"/>
        </w:tabs>
        <w:ind w:left="5664"/>
        <w:jc w:val="both"/>
      </w:pPr>
    </w:p>
    <w:p w:rsidR="004A5A59" w:rsidRDefault="004A5A59" w:rsidP="002D5BCA">
      <w:pPr>
        <w:tabs>
          <w:tab w:val="left" w:pos="5748"/>
        </w:tabs>
        <w:ind w:left="5664"/>
        <w:jc w:val="both"/>
      </w:pPr>
    </w:p>
    <w:p w:rsidR="004A5A59" w:rsidRDefault="004A5A59" w:rsidP="002D5BCA">
      <w:pPr>
        <w:tabs>
          <w:tab w:val="left" w:pos="5748"/>
        </w:tabs>
        <w:ind w:left="5664"/>
        <w:jc w:val="both"/>
      </w:pPr>
    </w:p>
    <w:p w:rsidR="004A5A59" w:rsidRDefault="004A5A59" w:rsidP="002D5BCA">
      <w:pPr>
        <w:tabs>
          <w:tab w:val="left" w:pos="5748"/>
        </w:tabs>
        <w:ind w:left="5664"/>
        <w:jc w:val="both"/>
      </w:pPr>
    </w:p>
    <w:p w:rsidR="00F03C53" w:rsidRDefault="00F03C53" w:rsidP="002D5BCA">
      <w:pPr>
        <w:tabs>
          <w:tab w:val="left" w:pos="5748"/>
        </w:tabs>
        <w:ind w:left="5664"/>
        <w:jc w:val="both"/>
      </w:pPr>
    </w:p>
    <w:p w:rsidR="00F03C53" w:rsidRDefault="00F03C53" w:rsidP="002D5BCA">
      <w:pPr>
        <w:tabs>
          <w:tab w:val="left" w:pos="5748"/>
        </w:tabs>
        <w:ind w:left="5664"/>
        <w:jc w:val="both"/>
      </w:pPr>
    </w:p>
    <w:p w:rsidR="004A5A59" w:rsidRDefault="004A5A59" w:rsidP="00F03C53">
      <w:pPr>
        <w:tabs>
          <w:tab w:val="left" w:pos="5748"/>
        </w:tabs>
        <w:jc w:val="both"/>
      </w:pPr>
    </w:p>
    <w:sectPr w:rsidR="004A5A59" w:rsidSect="005C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CA"/>
    <w:rsid w:val="002465F4"/>
    <w:rsid w:val="002D5BCA"/>
    <w:rsid w:val="003D7369"/>
    <w:rsid w:val="00421C33"/>
    <w:rsid w:val="004A5A59"/>
    <w:rsid w:val="00551B1A"/>
    <w:rsid w:val="005C2F9F"/>
    <w:rsid w:val="00840AA7"/>
    <w:rsid w:val="00AD56D2"/>
    <w:rsid w:val="00D1798F"/>
    <w:rsid w:val="00DC0BF9"/>
    <w:rsid w:val="00DC3FA8"/>
    <w:rsid w:val="00F0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D5BC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5BC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D5BCA"/>
    <w:rPr>
      <w:rFonts w:ascii="Cambria" w:eastAsia="Times New Roman" w:hAnsi="Cambria" w:cs="Times New Roman"/>
      <w:b/>
      <w:i/>
      <w:sz w:val="28"/>
      <w:szCs w:val="20"/>
      <w:lang w:eastAsia="ar-SA"/>
    </w:rPr>
  </w:style>
  <w:style w:type="paragraph" w:styleId="a4">
    <w:name w:val="List Paragraph"/>
    <w:basedOn w:val="a"/>
    <w:qFormat/>
    <w:rsid w:val="002D5BC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Елена</cp:lastModifiedBy>
  <cp:revision>8</cp:revision>
  <dcterms:created xsi:type="dcterms:W3CDTF">2019-04-23T16:49:00Z</dcterms:created>
  <dcterms:modified xsi:type="dcterms:W3CDTF">2019-11-06T10:29:00Z</dcterms:modified>
</cp:coreProperties>
</file>