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8" w:rsidRPr="009E53A4" w:rsidRDefault="00BF3828" w:rsidP="00BF3828">
      <w:pPr>
        <w:spacing w:after="371" w:line="31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Оздоровление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BF3828" w:rsidRPr="009E53A4" w:rsidRDefault="00BF3828" w:rsidP="00BF3828">
      <w:pPr>
        <w:shd w:val="clear" w:color="auto" w:fill="FFFFFF"/>
        <w:spacing w:after="371" w:line="31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4" w:history="1">
        <w:r w:rsidRPr="009E53A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 </w:t>
        </w:r>
      </w:hyperlink>
      <w:hyperlink r:id="rId5" w:history="1">
        <w:r w:rsidRPr="009E53A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shd w:val="clear" w:color="auto" w:fill="FFFFFF" w:themeFill="background1"/>
            <w:lang w:eastAsia="ru-RU"/>
          </w:rPr>
          <w:t xml:space="preserve"> Программа оздоровления членов Профсоюза</w:t>
        </w:r>
      </w:hyperlink>
      <w:r w:rsidRPr="009E5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   </w:t>
      </w:r>
      <w:r w:rsidRPr="009E5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и </w:t>
      </w:r>
      <w:r w:rsidRPr="009E5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shd w:val="clear" w:color="auto" w:fill="FFFFFF" w:themeFill="background1"/>
          <w:lang w:eastAsia="ru-RU"/>
        </w:rPr>
        <w:t> </w:t>
      </w:r>
      <w:hyperlink r:id="rId6" w:history="1">
        <w:r w:rsidRPr="009E53A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u w:val="single"/>
            <w:shd w:val="clear" w:color="auto" w:fill="FFFFFF" w:themeFill="background1"/>
            <w:lang w:eastAsia="ru-RU"/>
          </w:rPr>
          <w:t>Положение о частичной компенсации расходов на оздоровление членов профсоюза</w:t>
        </w:r>
      </w:hyperlink>
    </w:p>
    <w:p w:rsidR="00BF3828" w:rsidRPr="009E53A4" w:rsidRDefault="00BF3828" w:rsidP="00BF3828">
      <w:pPr>
        <w:shd w:val="clear" w:color="auto" w:fill="FFFFFF"/>
        <w:spacing w:after="0" w:line="31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Сотрудничество с «</w:t>
      </w:r>
      <w:proofErr w:type="spellStart"/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АльфаСтрахованием-ОМС</w:t>
      </w:r>
      <w:proofErr w:type="spellEnd"/>
      <w:r w:rsidRPr="009E5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расширения блока социальной поддержки для работников отрасли, краевая организация  Профсоюза сотрудничает с кампанией медицинского страхования «Альфа Страхование».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</w:t>
      </w:r>
      <w:r w:rsidRPr="009E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продолжается, и в этом мы видим перспективы расширения инновационной деятельности.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перспективе для территорий планируются однодневные выезды машины с проведением для владельцев дисконтных карт бесплатных профессиональных  осмотров.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Сервисные карты будут оформлены и выданы индивидуально.</w:t>
      </w:r>
    </w:p>
    <w:p w:rsidR="00BF3828" w:rsidRPr="009E53A4" w:rsidRDefault="00BF3828" w:rsidP="00BF3828">
      <w:pPr>
        <w:shd w:val="clear" w:color="auto" w:fill="FFFFFF"/>
        <w:spacing w:after="0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Воспользоваться этой возможностью может любой желающий член Профсоюза</w:t>
      </w:r>
    </w:p>
    <w:p w:rsidR="00BF3828" w:rsidRPr="009E53A4" w:rsidRDefault="00BF3828" w:rsidP="00BF3828">
      <w:pPr>
        <w:shd w:val="clear" w:color="auto" w:fill="FFFFFF"/>
        <w:spacing w:after="185" w:line="31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9F" w:rsidRDefault="00C60D9F"/>
    <w:sectPr w:rsidR="00C60D9F" w:rsidSect="00C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28"/>
    <w:rsid w:val="00BF3828"/>
    <w:rsid w:val="00C6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76.sochi-schools.ru/wp-content/uploads/2016/10/Polozhenie-o-kompensatsii-ozdorovl.docx" TargetMode="External"/><Relationship Id="rId5" Type="http://schemas.openxmlformats.org/officeDocument/2006/relationships/hyperlink" Target="http://dou76.sochi-schools.ru/wp-content/uploads/2016/10/Gorodskaya-programma-OZDOROVLENIE-Prof.docx" TargetMode="External"/><Relationship Id="rId4" Type="http://schemas.openxmlformats.org/officeDocument/2006/relationships/hyperlink" Target="http://dou76.sochi-schools.ru/wp-content/uploads/2016/10/Gorodskaya-programma-OZDOROVLENIE-Pro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2017-09-25T11:26:00Z</dcterms:created>
  <dcterms:modified xsi:type="dcterms:W3CDTF">2017-09-25T11:27:00Z</dcterms:modified>
</cp:coreProperties>
</file>